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4815"/>
        <w:gridCol w:w="4678"/>
      </w:tblGrid>
      <w:tr w:rsidR="0069637C" w:rsidRPr="004D110A" w14:paraId="11B5BDAC" w14:textId="77777777" w:rsidTr="00027523">
        <w:trPr>
          <w:trHeight w:hRule="exact" w:val="284"/>
          <w:tblHeader/>
        </w:trPr>
        <w:tc>
          <w:tcPr>
            <w:tcW w:w="4815" w:type="dxa"/>
            <w:shd w:val="clear" w:color="auto" w:fill="E8E8E8" w:themeFill="background2"/>
          </w:tcPr>
          <w:p w14:paraId="47FA6E64" w14:textId="77777777" w:rsidR="0069637C" w:rsidRPr="004D110A" w:rsidRDefault="0069637C" w:rsidP="00027523">
            <w:pPr>
              <w:spacing w:line="240" w:lineRule="auto"/>
              <w:jc w:val="center"/>
              <w:rPr>
                <w:rFonts w:cs="Times New Roman"/>
                <w:b/>
                <w:bCs/>
                <w:sz w:val="20"/>
                <w:szCs w:val="20"/>
              </w:rPr>
            </w:pPr>
            <w:r w:rsidRPr="004D110A">
              <w:rPr>
                <w:rFonts w:cs="Times New Roman"/>
                <w:b/>
                <w:bCs/>
                <w:sz w:val="20"/>
                <w:szCs w:val="20"/>
              </w:rPr>
              <w:t xml:space="preserve">Inclusion </w:t>
            </w:r>
            <w:r>
              <w:rPr>
                <w:rFonts w:cs="Times New Roman"/>
                <w:b/>
                <w:bCs/>
                <w:sz w:val="20"/>
                <w:szCs w:val="20"/>
              </w:rPr>
              <w:t>c</w:t>
            </w:r>
            <w:r w:rsidRPr="004D110A">
              <w:rPr>
                <w:rFonts w:cs="Times New Roman"/>
                <w:b/>
                <w:bCs/>
                <w:sz w:val="20"/>
                <w:szCs w:val="20"/>
              </w:rPr>
              <w:t>riteria</w:t>
            </w:r>
          </w:p>
        </w:tc>
        <w:tc>
          <w:tcPr>
            <w:tcW w:w="4678" w:type="dxa"/>
            <w:shd w:val="clear" w:color="auto" w:fill="E8E8E8" w:themeFill="background2"/>
          </w:tcPr>
          <w:p w14:paraId="6D69DFA5" w14:textId="77777777" w:rsidR="0069637C" w:rsidRPr="004D110A" w:rsidRDefault="0069637C" w:rsidP="00027523">
            <w:pPr>
              <w:spacing w:line="240" w:lineRule="auto"/>
              <w:jc w:val="center"/>
              <w:rPr>
                <w:rFonts w:cs="Times New Roman"/>
                <w:b/>
                <w:bCs/>
                <w:sz w:val="20"/>
                <w:szCs w:val="20"/>
              </w:rPr>
            </w:pPr>
            <w:r w:rsidRPr="004D110A">
              <w:rPr>
                <w:rFonts w:cs="Times New Roman"/>
                <w:b/>
                <w:bCs/>
                <w:sz w:val="20"/>
                <w:szCs w:val="20"/>
              </w:rPr>
              <w:t xml:space="preserve">Exclusion </w:t>
            </w:r>
            <w:r>
              <w:rPr>
                <w:rFonts w:cs="Times New Roman"/>
                <w:b/>
                <w:bCs/>
                <w:sz w:val="20"/>
                <w:szCs w:val="20"/>
              </w:rPr>
              <w:t>c</w:t>
            </w:r>
            <w:r w:rsidRPr="004D110A">
              <w:rPr>
                <w:rFonts w:cs="Times New Roman"/>
                <w:b/>
                <w:bCs/>
                <w:sz w:val="20"/>
                <w:szCs w:val="20"/>
              </w:rPr>
              <w:t>riteria</w:t>
            </w:r>
          </w:p>
        </w:tc>
      </w:tr>
      <w:tr w:rsidR="0069637C" w:rsidRPr="004D110A" w14:paraId="45B804E7" w14:textId="77777777" w:rsidTr="00027523">
        <w:trPr>
          <w:trHeight w:hRule="exact" w:val="284"/>
        </w:trPr>
        <w:tc>
          <w:tcPr>
            <w:tcW w:w="9493" w:type="dxa"/>
            <w:gridSpan w:val="2"/>
            <w:shd w:val="clear" w:color="auto" w:fill="E8E8E8" w:themeFill="background2"/>
          </w:tcPr>
          <w:p w14:paraId="043A255D" w14:textId="77777777" w:rsidR="0069637C" w:rsidRPr="004D110A" w:rsidRDefault="0069637C" w:rsidP="00027523">
            <w:pPr>
              <w:spacing w:line="240" w:lineRule="auto"/>
              <w:rPr>
                <w:rFonts w:cs="Times New Roman"/>
                <w:b/>
                <w:bCs/>
                <w:sz w:val="20"/>
                <w:szCs w:val="20"/>
              </w:rPr>
            </w:pPr>
            <w:r w:rsidRPr="004D110A">
              <w:rPr>
                <w:rFonts w:cs="Times New Roman"/>
                <w:b/>
                <w:bCs/>
                <w:sz w:val="20"/>
                <w:szCs w:val="20"/>
              </w:rPr>
              <w:t>Sample</w:t>
            </w:r>
          </w:p>
        </w:tc>
      </w:tr>
      <w:tr w:rsidR="0069637C" w:rsidRPr="004D110A" w14:paraId="2D15E75F" w14:textId="77777777" w:rsidTr="00027523">
        <w:tc>
          <w:tcPr>
            <w:tcW w:w="4815" w:type="dxa"/>
          </w:tcPr>
          <w:p w14:paraId="3FA0DA86" w14:textId="77777777" w:rsidR="0069637C" w:rsidRPr="004D110A" w:rsidRDefault="0069637C" w:rsidP="0069637C">
            <w:pPr>
              <w:pStyle w:val="ListParagraph"/>
              <w:numPr>
                <w:ilvl w:val="0"/>
                <w:numId w:val="1"/>
              </w:numPr>
              <w:spacing w:after="0" w:line="240" w:lineRule="auto"/>
              <w:ind w:left="317" w:hanging="284"/>
              <w:rPr>
                <w:rFonts w:cs="Times New Roman"/>
                <w:sz w:val="20"/>
                <w:szCs w:val="20"/>
              </w:rPr>
            </w:pPr>
            <w:r w:rsidRPr="004D110A">
              <w:rPr>
                <w:rFonts w:cs="Times New Roman"/>
                <w:sz w:val="20"/>
                <w:szCs w:val="20"/>
              </w:rPr>
              <w:t>Individuals identifying as women or female or gender diverse who have been offered or received synchronous clinical care via a virtual modality for any condition (e.g., gender-specific or gender-neutral)</w:t>
            </w:r>
          </w:p>
          <w:p w14:paraId="18EC20E5" w14:textId="77777777" w:rsidR="0069637C" w:rsidRPr="004D110A" w:rsidRDefault="0069637C" w:rsidP="0069637C">
            <w:pPr>
              <w:pStyle w:val="ListParagraph"/>
              <w:numPr>
                <w:ilvl w:val="0"/>
                <w:numId w:val="1"/>
              </w:numPr>
              <w:spacing w:after="0" w:line="240" w:lineRule="auto"/>
              <w:ind w:left="317" w:hanging="284"/>
              <w:rPr>
                <w:rFonts w:cs="Times New Roman"/>
                <w:sz w:val="20"/>
                <w:szCs w:val="20"/>
              </w:rPr>
            </w:pPr>
            <w:r w:rsidRPr="004D110A">
              <w:rPr>
                <w:rFonts w:cs="Times New Roman"/>
                <w:sz w:val="20"/>
                <w:szCs w:val="20"/>
              </w:rPr>
              <w:t>Clinical team members involved in providing virtual care to individuals identifying as women or female</w:t>
            </w:r>
          </w:p>
          <w:p w14:paraId="35B6BF58" w14:textId="77777777" w:rsidR="0069637C" w:rsidRPr="004D110A" w:rsidRDefault="0069637C" w:rsidP="0069637C">
            <w:pPr>
              <w:pStyle w:val="ListParagraph"/>
              <w:numPr>
                <w:ilvl w:val="0"/>
                <w:numId w:val="1"/>
              </w:numPr>
              <w:spacing w:after="0" w:line="240" w:lineRule="auto"/>
              <w:ind w:left="317" w:hanging="284"/>
              <w:rPr>
                <w:rFonts w:cs="Times New Roman"/>
                <w:sz w:val="20"/>
                <w:szCs w:val="20"/>
              </w:rPr>
            </w:pPr>
            <w:r w:rsidRPr="004D110A">
              <w:rPr>
                <w:rFonts w:cs="Times New Roman"/>
                <w:i/>
                <w:iCs/>
                <w:sz w:val="20"/>
                <w:szCs w:val="20"/>
              </w:rPr>
              <w:t>Virtual modalities</w:t>
            </w:r>
            <w:r w:rsidRPr="004D110A">
              <w:rPr>
                <w:rFonts w:cs="Times New Roman"/>
                <w:sz w:val="20"/>
                <w:szCs w:val="20"/>
              </w:rPr>
              <w:t xml:space="preserve"> include clinical care provision delivered synchronously (i.e., in real time) between a patient(s) and clinical team member specifically via video-based conferencing or telephone</w:t>
            </w:r>
          </w:p>
          <w:p w14:paraId="3ED757C1" w14:textId="77777777" w:rsidR="0069637C" w:rsidRPr="004D110A" w:rsidRDefault="0069637C" w:rsidP="0069637C">
            <w:pPr>
              <w:pStyle w:val="ListParagraph"/>
              <w:numPr>
                <w:ilvl w:val="0"/>
                <w:numId w:val="1"/>
              </w:numPr>
              <w:spacing w:after="0" w:line="240" w:lineRule="auto"/>
              <w:ind w:left="317" w:hanging="284"/>
              <w:rPr>
                <w:rFonts w:cs="Times New Roman"/>
                <w:sz w:val="20"/>
                <w:szCs w:val="20"/>
              </w:rPr>
            </w:pPr>
            <w:r w:rsidRPr="004D110A">
              <w:rPr>
                <w:rFonts w:cs="Times New Roman"/>
                <w:i/>
                <w:iCs/>
                <w:sz w:val="20"/>
                <w:szCs w:val="20"/>
              </w:rPr>
              <w:t>Clinical care provision</w:t>
            </w:r>
            <w:r w:rsidRPr="004D110A">
              <w:rPr>
                <w:rFonts w:cs="Times New Roman"/>
                <w:sz w:val="20"/>
                <w:szCs w:val="20"/>
              </w:rPr>
              <w:t xml:space="preserve"> to include 1:1 or group-based encounters delivered as part of a clinic setting and which is provided by or consulted to by a treating clinician</w:t>
            </w:r>
          </w:p>
          <w:p w14:paraId="664E5736" w14:textId="77777777" w:rsidR="0069637C" w:rsidRPr="004D110A" w:rsidRDefault="0069637C" w:rsidP="0069637C">
            <w:pPr>
              <w:pStyle w:val="ListParagraph"/>
              <w:numPr>
                <w:ilvl w:val="0"/>
                <w:numId w:val="4"/>
              </w:numPr>
              <w:spacing w:after="0" w:line="240" w:lineRule="auto"/>
              <w:ind w:left="317" w:hanging="284"/>
              <w:rPr>
                <w:rFonts w:cs="Times New Roman"/>
                <w:sz w:val="20"/>
                <w:szCs w:val="20"/>
              </w:rPr>
            </w:pPr>
            <w:r w:rsidRPr="004D110A">
              <w:rPr>
                <w:rFonts w:cs="Times New Roman"/>
                <w:i/>
                <w:iCs/>
                <w:sz w:val="20"/>
                <w:szCs w:val="20"/>
              </w:rPr>
              <w:t>Clinical team members</w:t>
            </w:r>
            <w:r w:rsidRPr="004D110A">
              <w:rPr>
                <w:rFonts w:cs="Times New Roman"/>
                <w:sz w:val="20"/>
                <w:szCs w:val="20"/>
              </w:rPr>
              <w:t xml:space="preserve"> include any professional role involved in delivering clinic-based health care or coordinating/scheduling of clinic-based care, including administrative staff (e.g., management, clinic-based administrative staff), nursing, prescribing-providers </w:t>
            </w:r>
          </w:p>
          <w:p w14:paraId="6674931F" w14:textId="77777777" w:rsidR="0069637C" w:rsidRPr="004D110A" w:rsidRDefault="0069637C" w:rsidP="0069637C">
            <w:pPr>
              <w:pStyle w:val="ListParagraph"/>
              <w:numPr>
                <w:ilvl w:val="0"/>
                <w:numId w:val="2"/>
              </w:numPr>
              <w:spacing w:after="0" w:line="240" w:lineRule="auto"/>
              <w:ind w:left="317" w:hanging="284"/>
              <w:rPr>
                <w:rFonts w:cs="Times New Roman"/>
                <w:sz w:val="20"/>
                <w:szCs w:val="20"/>
              </w:rPr>
            </w:pPr>
            <w:r w:rsidRPr="004D110A">
              <w:rPr>
                <w:rFonts w:cs="Times New Roman"/>
                <w:sz w:val="20"/>
                <w:szCs w:val="20"/>
              </w:rPr>
              <w:t xml:space="preserve">Focus on parent as patient (e.g., lactation consultation) </w:t>
            </w:r>
          </w:p>
        </w:tc>
        <w:tc>
          <w:tcPr>
            <w:tcW w:w="4678" w:type="dxa"/>
          </w:tcPr>
          <w:p w14:paraId="213D0AAB"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Individuals identifying as cisgender men or male. Assigned male at birth but do not identify as transgender or gender diverse</w:t>
            </w:r>
          </w:p>
          <w:p w14:paraId="3DCF0602"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Mixed gender populations for which the results are not stratified, or intervention is not sub</w:t>
            </w:r>
            <w:r>
              <w:rPr>
                <w:rFonts w:cs="Times New Roman"/>
                <w:sz w:val="20"/>
                <w:szCs w:val="20"/>
              </w:rPr>
              <w:t>-</w:t>
            </w:r>
            <w:r w:rsidRPr="004D110A">
              <w:rPr>
                <w:rFonts w:cs="Times New Roman"/>
                <w:sz w:val="20"/>
                <w:szCs w:val="20"/>
              </w:rPr>
              <w:t>grouped by gender</w:t>
            </w:r>
          </w:p>
          <w:p w14:paraId="4A2643EE"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Virtual care modalities for asynchronous (i.e., not in real time) including secure messaging, static health related webpages, store, and forward services</w:t>
            </w:r>
          </w:p>
          <w:p w14:paraId="3908ED0F"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Text-based chat – even if synchronous</w:t>
            </w:r>
          </w:p>
          <w:p w14:paraId="267B2BFF"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Clinician to clinician virtual communication that does not include patient participation (e.g., e-consults)</w:t>
            </w:r>
          </w:p>
          <w:p w14:paraId="5E539D6B"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Non-specific peer led support groups</w:t>
            </w:r>
          </w:p>
          <w:p w14:paraId="48CAEC29"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Sample exclusively under 18, or mixed age range with a mean or standard deviation under 18</w:t>
            </w:r>
          </w:p>
          <w:p w14:paraId="2BD2B604" w14:textId="77777777" w:rsidR="0069637C" w:rsidRPr="004D110A" w:rsidRDefault="0069637C" w:rsidP="0069637C">
            <w:pPr>
              <w:pStyle w:val="ListParagraph"/>
              <w:numPr>
                <w:ilvl w:val="0"/>
                <w:numId w:val="2"/>
              </w:numPr>
              <w:spacing w:after="0" w:line="240" w:lineRule="auto"/>
              <w:ind w:left="313" w:hanging="273"/>
              <w:rPr>
                <w:rFonts w:cs="Times New Roman"/>
                <w:sz w:val="20"/>
                <w:szCs w:val="20"/>
              </w:rPr>
            </w:pPr>
            <w:r w:rsidRPr="004D110A">
              <w:rPr>
                <w:rFonts w:cs="Times New Roman"/>
                <w:sz w:val="20"/>
                <w:szCs w:val="20"/>
              </w:rPr>
              <w:t>Focus on infant or child rather than parent as patient</w:t>
            </w:r>
          </w:p>
          <w:p w14:paraId="4D9D781E" w14:textId="77777777" w:rsidR="0069637C" w:rsidRPr="004D110A" w:rsidRDefault="0069637C" w:rsidP="00027523">
            <w:pPr>
              <w:spacing w:line="240" w:lineRule="auto"/>
              <w:ind w:left="313" w:hanging="273"/>
              <w:rPr>
                <w:rFonts w:cs="Times New Roman"/>
                <w:sz w:val="20"/>
                <w:szCs w:val="20"/>
              </w:rPr>
            </w:pPr>
          </w:p>
        </w:tc>
      </w:tr>
      <w:tr w:rsidR="0069637C" w:rsidRPr="004D110A" w14:paraId="646B65EF" w14:textId="77777777" w:rsidTr="00027523">
        <w:tc>
          <w:tcPr>
            <w:tcW w:w="9493" w:type="dxa"/>
            <w:gridSpan w:val="2"/>
            <w:shd w:val="clear" w:color="auto" w:fill="E8E8E8" w:themeFill="background2"/>
          </w:tcPr>
          <w:p w14:paraId="3C5A0480" w14:textId="77777777" w:rsidR="0069637C" w:rsidRPr="00EC3060" w:rsidRDefault="0069637C" w:rsidP="00027523">
            <w:pPr>
              <w:spacing w:after="0" w:line="240" w:lineRule="auto"/>
              <w:ind w:left="313" w:hanging="273"/>
              <w:rPr>
                <w:rFonts w:cs="Times New Roman"/>
                <w:b/>
                <w:bCs/>
                <w:sz w:val="20"/>
                <w:szCs w:val="20"/>
              </w:rPr>
            </w:pPr>
            <w:r w:rsidRPr="00EC3060">
              <w:rPr>
                <w:rFonts w:cs="Times New Roman"/>
                <w:b/>
                <w:bCs/>
                <w:sz w:val="20"/>
                <w:szCs w:val="20"/>
              </w:rPr>
              <w:t xml:space="preserve">Phenomenon of </w:t>
            </w:r>
            <w:r>
              <w:rPr>
                <w:rFonts w:cs="Times New Roman"/>
                <w:b/>
                <w:bCs/>
                <w:sz w:val="20"/>
                <w:szCs w:val="20"/>
              </w:rPr>
              <w:t>i</w:t>
            </w:r>
            <w:r w:rsidRPr="00EC3060">
              <w:rPr>
                <w:rFonts w:cs="Times New Roman"/>
                <w:b/>
                <w:bCs/>
                <w:sz w:val="20"/>
                <w:szCs w:val="20"/>
              </w:rPr>
              <w:t>nterest</w:t>
            </w:r>
          </w:p>
        </w:tc>
      </w:tr>
      <w:tr w:rsidR="0069637C" w:rsidRPr="004D110A" w14:paraId="6B9F18C0" w14:textId="77777777" w:rsidTr="00027523">
        <w:tc>
          <w:tcPr>
            <w:tcW w:w="4815" w:type="dxa"/>
          </w:tcPr>
          <w:p w14:paraId="07326DF3" w14:textId="77777777" w:rsidR="0069637C" w:rsidRPr="004D110A" w:rsidRDefault="0069637C" w:rsidP="0069637C">
            <w:pPr>
              <w:pStyle w:val="ListParagraph"/>
              <w:numPr>
                <w:ilvl w:val="0"/>
                <w:numId w:val="5"/>
              </w:numPr>
              <w:spacing w:after="0" w:line="240" w:lineRule="auto"/>
              <w:ind w:left="317" w:hanging="284"/>
              <w:rPr>
                <w:rFonts w:cs="Times New Roman"/>
                <w:sz w:val="20"/>
                <w:szCs w:val="20"/>
              </w:rPr>
            </w:pPr>
            <w:r w:rsidRPr="004D110A">
              <w:rPr>
                <w:rFonts w:cs="Times New Roman"/>
                <w:sz w:val="20"/>
                <w:szCs w:val="20"/>
              </w:rPr>
              <w:t>Virtual care delivered remotely (i.e., patient and provider in separate physical locations) and which involves the transmission of clinical information from patient to clinical team synchronously. Bidirectional information exchange between provider and clinician (e.g., not a health education workshop led by a clinician)</w:t>
            </w:r>
          </w:p>
          <w:p w14:paraId="34B0BAE0" w14:textId="77777777" w:rsidR="0069637C" w:rsidRPr="004D110A" w:rsidRDefault="0069637C" w:rsidP="0069637C">
            <w:pPr>
              <w:pStyle w:val="ListParagraph"/>
              <w:numPr>
                <w:ilvl w:val="0"/>
                <w:numId w:val="5"/>
              </w:numPr>
              <w:spacing w:after="0" w:line="240" w:lineRule="auto"/>
              <w:ind w:left="317" w:hanging="284"/>
              <w:rPr>
                <w:rFonts w:cs="Times New Roman"/>
                <w:sz w:val="20"/>
                <w:szCs w:val="20"/>
              </w:rPr>
            </w:pPr>
            <w:r w:rsidRPr="004D110A">
              <w:rPr>
                <w:rFonts w:cs="Times New Roman"/>
                <w:sz w:val="20"/>
                <w:szCs w:val="20"/>
              </w:rPr>
              <w:t>Care provided by the VA already (e.g., lactation consultation)</w:t>
            </w:r>
          </w:p>
          <w:p w14:paraId="7AFDF4AB" w14:textId="77777777" w:rsidR="0069637C" w:rsidRPr="004D110A" w:rsidRDefault="0069637C" w:rsidP="0069637C">
            <w:pPr>
              <w:pStyle w:val="ListParagraph"/>
              <w:numPr>
                <w:ilvl w:val="0"/>
                <w:numId w:val="5"/>
              </w:numPr>
              <w:spacing w:after="0" w:line="240" w:lineRule="auto"/>
              <w:ind w:left="317" w:hanging="284"/>
              <w:rPr>
                <w:rFonts w:cs="Times New Roman"/>
                <w:sz w:val="20"/>
                <w:szCs w:val="20"/>
              </w:rPr>
            </w:pPr>
            <w:r w:rsidRPr="004D110A">
              <w:rPr>
                <w:rFonts w:cs="Times New Roman"/>
                <w:sz w:val="20"/>
                <w:szCs w:val="20"/>
              </w:rPr>
              <w:t xml:space="preserve"> Clinician experiences delivering care to women digitally </w:t>
            </w:r>
          </w:p>
          <w:p w14:paraId="7BA04764" w14:textId="77777777" w:rsidR="0069637C" w:rsidRPr="004D110A" w:rsidRDefault="0069637C" w:rsidP="0069637C">
            <w:pPr>
              <w:pStyle w:val="ListParagraph"/>
              <w:numPr>
                <w:ilvl w:val="0"/>
                <w:numId w:val="5"/>
              </w:numPr>
              <w:spacing w:after="0" w:line="240" w:lineRule="auto"/>
              <w:ind w:left="317" w:hanging="284"/>
              <w:rPr>
                <w:rFonts w:cs="Times New Roman"/>
                <w:sz w:val="20"/>
                <w:szCs w:val="20"/>
              </w:rPr>
            </w:pPr>
            <w:r w:rsidRPr="004D110A">
              <w:rPr>
                <w:rFonts w:cs="Times New Roman"/>
                <w:sz w:val="20"/>
                <w:szCs w:val="20"/>
              </w:rPr>
              <w:t>Studies that include novel interventions, pilots, and usual care that focuses on the actual experiences of women using telehealth, rather than perceived/anticipated experiences. We will include articles that assess the feasibility of a virtual modality for usual care as well as articles about women who sought/want telehealth but were unable to receive telehealth (e.g., due to poor fit, lack of access, etc.)</w:t>
            </w:r>
          </w:p>
          <w:p w14:paraId="4EDFD085" w14:textId="77777777" w:rsidR="0069637C" w:rsidRPr="004D110A" w:rsidRDefault="0069637C" w:rsidP="0069637C">
            <w:pPr>
              <w:pStyle w:val="ListParagraph"/>
              <w:numPr>
                <w:ilvl w:val="0"/>
                <w:numId w:val="5"/>
              </w:numPr>
              <w:spacing w:after="0" w:line="240" w:lineRule="auto"/>
              <w:ind w:left="317" w:hanging="284"/>
              <w:rPr>
                <w:rFonts w:cs="Times New Roman"/>
                <w:sz w:val="20"/>
                <w:szCs w:val="20"/>
              </w:rPr>
            </w:pPr>
            <w:r w:rsidRPr="004D110A">
              <w:rPr>
                <w:rFonts w:cs="Times New Roman"/>
                <w:sz w:val="20"/>
                <w:szCs w:val="20"/>
              </w:rPr>
              <w:t>Studies about IPV,</w:t>
            </w:r>
            <w:r>
              <w:rPr>
                <w:rFonts w:cs="Times New Roman"/>
                <w:sz w:val="20"/>
                <w:szCs w:val="20"/>
              </w:rPr>
              <w:t xml:space="preserve"> </w:t>
            </w:r>
            <w:r w:rsidRPr="004D110A">
              <w:rPr>
                <w:rFonts w:cs="Times New Roman"/>
                <w:sz w:val="20"/>
                <w:szCs w:val="20"/>
              </w:rPr>
              <w:t xml:space="preserve">DV, or SA that specifically focus on these topics as experienced by women or gender diverse people </w:t>
            </w:r>
          </w:p>
        </w:tc>
        <w:tc>
          <w:tcPr>
            <w:tcW w:w="4678" w:type="dxa"/>
          </w:tcPr>
          <w:p w14:paraId="7B4F6EA1"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Self-management interventions that do not involve communication with a clinical team member or do not involve a patient sharing some of their own information</w:t>
            </w:r>
          </w:p>
          <w:p w14:paraId="31542168"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Virtual health care that is asynchronous as described above</w:t>
            </w:r>
          </w:p>
          <w:p w14:paraId="039263A2"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Non-specific peer support groups</w:t>
            </w:r>
          </w:p>
          <w:p w14:paraId="2204F0F4"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Support delivered unrelated to specific clinical conditions (e.g., benefits process support, training on financial literacy)</w:t>
            </w:r>
          </w:p>
          <w:p w14:paraId="329C95D6"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Mobile App interventions or any interventions where the virtual care part is not required or the dominant part</w:t>
            </w:r>
          </w:p>
          <w:p w14:paraId="3C2CFA60"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Care not provided by the VA (e.g., neonatal care)</w:t>
            </w:r>
          </w:p>
          <w:p w14:paraId="248E013B"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Articles about clinicians that do not pertain to delivery of care to women digitally (e.g., wellbeing of clinicians)</w:t>
            </w:r>
          </w:p>
          <w:p w14:paraId="76D1EB6E"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 xml:space="preserve">Articles about the feasibility of novel interventions or potential experiences of a novel intervention that happens to have a virtual modality </w:t>
            </w:r>
          </w:p>
          <w:p w14:paraId="6E41C13C" w14:textId="77777777" w:rsidR="0069637C" w:rsidRPr="004D110A" w:rsidRDefault="0069637C" w:rsidP="0069637C">
            <w:pPr>
              <w:pStyle w:val="ListParagraph"/>
              <w:numPr>
                <w:ilvl w:val="0"/>
                <w:numId w:val="3"/>
              </w:numPr>
              <w:spacing w:after="0" w:line="240" w:lineRule="auto"/>
              <w:ind w:left="313" w:hanging="273"/>
              <w:rPr>
                <w:rFonts w:cs="Times New Roman"/>
                <w:sz w:val="20"/>
                <w:szCs w:val="20"/>
              </w:rPr>
            </w:pPr>
            <w:r w:rsidRPr="004D110A">
              <w:rPr>
                <w:rFonts w:cs="Times New Roman"/>
                <w:sz w:val="20"/>
                <w:szCs w:val="20"/>
              </w:rPr>
              <w:t xml:space="preserve">Studies about IPV, DV, or SA that </w:t>
            </w:r>
            <w:r w:rsidRPr="004D110A">
              <w:rPr>
                <w:rFonts w:cs="Times New Roman"/>
                <w:b/>
                <w:bCs/>
                <w:sz w:val="20"/>
                <w:szCs w:val="20"/>
              </w:rPr>
              <w:t>do not</w:t>
            </w:r>
            <w:r w:rsidRPr="004D110A">
              <w:rPr>
                <w:rFonts w:cs="Times New Roman"/>
                <w:sz w:val="20"/>
                <w:szCs w:val="20"/>
              </w:rPr>
              <w:t xml:space="preserve"> specifically focus on these topics as experienced by women or gender diverse people</w:t>
            </w:r>
          </w:p>
        </w:tc>
      </w:tr>
      <w:tr w:rsidR="0069637C" w:rsidRPr="004D110A" w14:paraId="0572371A" w14:textId="77777777" w:rsidTr="00027523">
        <w:tc>
          <w:tcPr>
            <w:tcW w:w="9493" w:type="dxa"/>
            <w:gridSpan w:val="2"/>
            <w:shd w:val="clear" w:color="auto" w:fill="E8E8E8" w:themeFill="background2"/>
          </w:tcPr>
          <w:p w14:paraId="518564A0" w14:textId="77777777" w:rsidR="0069637C" w:rsidRPr="00EC3060" w:rsidRDefault="0069637C" w:rsidP="00027523">
            <w:pPr>
              <w:spacing w:after="0" w:line="240" w:lineRule="auto"/>
              <w:rPr>
                <w:rFonts w:cs="Times New Roman"/>
                <w:b/>
                <w:bCs/>
                <w:sz w:val="20"/>
                <w:szCs w:val="20"/>
              </w:rPr>
            </w:pPr>
            <w:r w:rsidRPr="00EC3060">
              <w:rPr>
                <w:rFonts w:cs="Times New Roman"/>
                <w:b/>
                <w:bCs/>
                <w:sz w:val="20"/>
                <w:szCs w:val="20"/>
              </w:rPr>
              <w:t>Design</w:t>
            </w:r>
          </w:p>
        </w:tc>
      </w:tr>
      <w:tr w:rsidR="0069637C" w:rsidRPr="004D110A" w14:paraId="33BAA1ED" w14:textId="77777777" w:rsidTr="00027523">
        <w:tc>
          <w:tcPr>
            <w:tcW w:w="4815" w:type="dxa"/>
          </w:tcPr>
          <w:p w14:paraId="09B8A648" w14:textId="77777777" w:rsidR="0069637C" w:rsidRPr="004D110A" w:rsidRDefault="0069637C" w:rsidP="0069637C">
            <w:pPr>
              <w:pStyle w:val="ListParagraph"/>
              <w:numPr>
                <w:ilvl w:val="0"/>
                <w:numId w:val="7"/>
              </w:numPr>
              <w:spacing w:after="0" w:line="240" w:lineRule="auto"/>
              <w:ind w:left="317" w:hanging="284"/>
              <w:rPr>
                <w:rFonts w:cs="Times New Roman"/>
                <w:sz w:val="20"/>
                <w:szCs w:val="20"/>
              </w:rPr>
            </w:pPr>
            <w:r w:rsidRPr="004D110A">
              <w:rPr>
                <w:rFonts w:cs="Times New Roman"/>
                <w:sz w:val="20"/>
                <w:szCs w:val="20"/>
              </w:rPr>
              <w:t>Synchronous data collection gathered via interviews (individual, dyad, group; semi-structured or structured)</w:t>
            </w:r>
          </w:p>
          <w:p w14:paraId="0BCFD6BA" w14:textId="77777777" w:rsidR="0069637C" w:rsidRPr="004D110A" w:rsidRDefault="0069637C" w:rsidP="0069637C">
            <w:pPr>
              <w:pStyle w:val="ListParagraph"/>
              <w:numPr>
                <w:ilvl w:val="0"/>
                <w:numId w:val="7"/>
              </w:numPr>
              <w:spacing w:after="0" w:line="240" w:lineRule="auto"/>
              <w:ind w:left="317" w:hanging="284"/>
              <w:rPr>
                <w:rFonts w:cs="Times New Roman"/>
                <w:sz w:val="20"/>
                <w:szCs w:val="20"/>
              </w:rPr>
            </w:pPr>
            <w:r w:rsidRPr="004D110A">
              <w:rPr>
                <w:rFonts w:cs="Times New Roman"/>
                <w:sz w:val="20"/>
                <w:szCs w:val="20"/>
              </w:rPr>
              <w:t xml:space="preserve">Focus groups; observations; ethnographies </w:t>
            </w:r>
          </w:p>
          <w:p w14:paraId="3F6D4462" w14:textId="77777777" w:rsidR="0069637C" w:rsidRPr="004D110A" w:rsidRDefault="0069637C" w:rsidP="00027523">
            <w:pPr>
              <w:spacing w:line="240" w:lineRule="auto"/>
              <w:rPr>
                <w:rFonts w:cs="Times New Roman"/>
                <w:sz w:val="20"/>
                <w:szCs w:val="20"/>
              </w:rPr>
            </w:pPr>
          </w:p>
        </w:tc>
        <w:tc>
          <w:tcPr>
            <w:tcW w:w="4678" w:type="dxa"/>
          </w:tcPr>
          <w:p w14:paraId="5DE540E3" w14:textId="77777777" w:rsidR="0069637C" w:rsidRPr="004D110A" w:rsidRDefault="0069637C" w:rsidP="0069637C">
            <w:pPr>
              <w:pStyle w:val="ListParagraph"/>
              <w:numPr>
                <w:ilvl w:val="0"/>
                <w:numId w:val="6"/>
              </w:numPr>
              <w:spacing w:after="0" w:line="240" w:lineRule="auto"/>
              <w:ind w:left="313" w:hanging="283"/>
              <w:rPr>
                <w:rFonts w:cs="Times New Roman"/>
                <w:sz w:val="20"/>
                <w:szCs w:val="20"/>
              </w:rPr>
            </w:pPr>
            <w:r w:rsidRPr="004D110A">
              <w:rPr>
                <w:rFonts w:cs="Times New Roman"/>
                <w:sz w:val="20"/>
                <w:szCs w:val="20"/>
              </w:rPr>
              <w:lastRenderedPageBreak/>
              <w:t>Not open-ended surveys or asynchronous means of collecting data</w:t>
            </w:r>
          </w:p>
          <w:p w14:paraId="3EF723C6" w14:textId="77777777" w:rsidR="0069637C" w:rsidRPr="004D110A" w:rsidRDefault="0069637C" w:rsidP="0069637C">
            <w:pPr>
              <w:pStyle w:val="ListParagraph"/>
              <w:numPr>
                <w:ilvl w:val="0"/>
                <w:numId w:val="6"/>
              </w:numPr>
              <w:spacing w:after="0" w:line="240" w:lineRule="auto"/>
              <w:ind w:left="313" w:hanging="283"/>
              <w:rPr>
                <w:rFonts w:cs="Times New Roman"/>
                <w:sz w:val="20"/>
                <w:szCs w:val="20"/>
              </w:rPr>
            </w:pPr>
            <w:r w:rsidRPr="004D110A">
              <w:rPr>
                <w:rFonts w:cs="Times New Roman"/>
                <w:sz w:val="20"/>
                <w:szCs w:val="20"/>
              </w:rPr>
              <w:t>Content analysis</w:t>
            </w:r>
          </w:p>
          <w:p w14:paraId="2A243E92" w14:textId="77777777" w:rsidR="0069637C" w:rsidRPr="004D110A" w:rsidRDefault="0069637C" w:rsidP="0069637C">
            <w:pPr>
              <w:pStyle w:val="ListParagraph"/>
              <w:numPr>
                <w:ilvl w:val="0"/>
                <w:numId w:val="6"/>
              </w:numPr>
              <w:spacing w:after="0" w:line="240" w:lineRule="auto"/>
              <w:ind w:left="313" w:hanging="283"/>
              <w:rPr>
                <w:rFonts w:cs="Times New Roman"/>
                <w:sz w:val="20"/>
                <w:szCs w:val="20"/>
              </w:rPr>
            </w:pPr>
            <w:r w:rsidRPr="004D110A">
              <w:rPr>
                <w:rFonts w:cs="Times New Roman"/>
                <w:sz w:val="20"/>
                <w:szCs w:val="20"/>
              </w:rPr>
              <w:t>Protocol papers</w:t>
            </w:r>
          </w:p>
          <w:p w14:paraId="4B812022" w14:textId="77777777" w:rsidR="0069637C" w:rsidRPr="004D110A" w:rsidRDefault="0069637C" w:rsidP="0069637C">
            <w:pPr>
              <w:pStyle w:val="ListParagraph"/>
              <w:numPr>
                <w:ilvl w:val="0"/>
                <w:numId w:val="6"/>
              </w:numPr>
              <w:spacing w:after="0" w:line="240" w:lineRule="auto"/>
              <w:ind w:left="313" w:hanging="283"/>
              <w:rPr>
                <w:rFonts w:cs="Times New Roman"/>
                <w:sz w:val="20"/>
                <w:szCs w:val="20"/>
              </w:rPr>
            </w:pPr>
            <w:r w:rsidRPr="004D110A">
              <w:rPr>
                <w:rFonts w:cs="Times New Roman"/>
                <w:sz w:val="20"/>
                <w:szCs w:val="20"/>
              </w:rPr>
              <w:lastRenderedPageBreak/>
              <w:t>Systematic reviews and scoping reviews (tag for later review if relevant, however)</w:t>
            </w:r>
          </w:p>
        </w:tc>
      </w:tr>
      <w:tr w:rsidR="0069637C" w:rsidRPr="004D110A" w14:paraId="2E915F63" w14:textId="77777777" w:rsidTr="00027523">
        <w:tc>
          <w:tcPr>
            <w:tcW w:w="9493" w:type="dxa"/>
            <w:gridSpan w:val="2"/>
            <w:shd w:val="clear" w:color="auto" w:fill="E8E8E8" w:themeFill="background2"/>
          </w:tcPr>
          <w:p w14:paraId="19E2D851" w14:textId="77777777" w:rsidR="0069637C" w:rsidRPr="00EC3060" w:rsidRDefault="0069637C" w:rsidP="00027523">
            <w:pPr>
              <w:spacing w:after="0" w:line="240" w:lineRule="auto"/>
              <w:rPr>
                <w:rFonts w:cs="Times New Roman"/>
                <w:b/>
                <w:bCs/>
                <w:sz w:val="20"/>
                <w:szCs w:val="20"/>
              </w:rPr>
            </w:pPr>
            <w:r w:rsidRPr="004D110A">
              <w:rPr>
                <w:rFonts w:cs="Times New Roman"/>
                <w:b/>
                <w:bCs/>
                <w:sz w:val="20"/>
                <w:szCs w:val="20"/>
              </w:rPr>
              <w:lastRenderedPageBreak/>
              <w:t>Evaluation</w:t>
            </w:r>
          </w:p>
        </w:tc>
      </w:tr>
      <w:tr w:rsidR="0069637C" w:rsidRPr="004D110A" w14:paraId="53080B31" w14:textId="77777777" w:rsidTr="00027523">
        <w:tc>
          <w:tcPr>
            <w:tcW w:w="9493" w:type="dxa"/>
            <w:gridSpan w:val="2"/>
          </w:tcPr>
          <w:p w14:paraId="1A052924" w14:textId="77777777" w:rsidR="0069637C" w:rsidRPr="004D110A" w:rsidRDefault="0069637C" w:rsidP="00027523">
            <w:pPr>
              <w:spacing w:line="240" w:lineRule="auto"/>
              <w:rPr>
                <w:rFonts w:cs="Times New Roman"/>
                <w:sz w:val="20"/>
                <w:szCs w:val="20"/>
              </w:rPr>
            </w:pPr>
            <w:r w:rsidRPr="004D110A">
              <w:rPr>
                <w:rFonts w:cs="Times New Roman"/>
                <w:sz w:val="20"/>
                <w:szCs w:val="20"/>
              </w:rPr>
              <w:t>Primary purpose of data collection is to evaluate the experiences and perspectives around being offered or receiving virtual care for women or the delivery of synchronous virtual care to individuals who identify as women or female</w:t>
            </w:r>
          </w:p>
        </w:tc>
      </w:tr>
      <w:tr w:rsidR="0069637C" w:rsidRPr="004D110A" w14:paraId="464DBF77" w14:textId="77777777" w:rsidTr="00027523">
        <w:trPr>
          <w:trHeight w:hRule="exact" w:val="284"/>
        </w:trPr>
        <w:tc>
          <w:tcPr>
            <w:tcW w:w="9493" w:type="dxa"/>
            <w:gridSpan w:val="2"/>
            <w:shd w:val="clear" w:color="auto" w:fill="E8E8E8" w:themeFill="background2"/>
          </w:tcPr>
          <w:p w14:paraId="76A22AB8" w14:textId="77777777" w:rsidR="0069637C" w:rsidRPr="00EC3060" w:rsidRDefault="0069637C" w:rsidP="00027523">
            <w:pPr>
              <w:spacing w:line="240" w:lineRule="auto"/>
              <w:rPr>
                <w:rFonts w:cs="Times New Roman"/>
                <w:b/>
                <w:bCs/>
                <w:sz w:val="20"/>
                <w:szCs w:val="20"/>
              </w:rPr>
            </w:pPr>
            <w:r w:rsidRPr="004D110A">
              <w:rPr>
                <w:rFonts w:cs="Times New Roman"/>
                <w:b/>
                <w:bCs/>
                <w:sz w:val="20"/>
                <w:szCs w:val="20"/>
              </w:rPr>
              <w:t xml:space="preserve">Research </w:t>
            </w:r>
            <w:r>
              <w:rPr>
                <w:rFonts w:cs="Times New Roman"/>
                <w:b/>
                <w:bCs/>
                <w:sz w:val="20"/>
                <w:szCs w:val="20"/>
              </w:rPr>
              <w:t>t</w:t>
            </w:r>
            <w:r w:rsidRPr="004D110A">
              <w:rPr>
                <w:rFonts w:cs="Times New Roman"/>
                <w:b/>
                <w:bCs/>
                <w:sz w:val="20"/>
                <w:szCs w:val="20"/>
              </w:rPr>
              <w:t>ype</w:t>
            </w:r>
          </w:p>
        </w:tc>
      </w:tr>
      <w:tr w:rsidR="0069637C" w:rsidRPr="004D110A" w14:paraId="6573F454" w14:textId="77777777" w:rsidTr="00027523">
        <w:tc>
          <w:tcPr>
            <w:tcW w:w="4815" w:type="dxa"/>
          </w:tcPr>
          <w:p w14:paraId="2FB7245A" w14:textId="77777777" w:rsidR="0069637C" w:rsidRPr="004D110A" w:rsidRDefault="0069637C" w:rsidP="00027523">
            <w:pPr>
              <w:spacing w:line="240" w:lineRule="auto"/>
              <w:rPr>
                <w:rFonts w:cs="Times New Roman"/>
                <w:sz w:val="20"/>
                <w:szCs w:val="20"/>
              </w:rPr>
            </w:pPr>
            <w:r w:rsidRPr="004D110A">
              <w:rPr>
                <w:rFonts w:cs="Times New Roman"/>
                <w:sz w:val="20"/>
                <w:szCs w:val="20"/>
              </w:rPr>
              <w:t>Qualitative or mixed or multiple methods</w:t>
            </w:r>
          </w:p>
        </w:tc>
        <w:tc>
          <w:tcPr>
            <w:tcW w:w="4678" w:type="dxa"/>
          </w:tcPr>
          <w:p w14:paraId="1FFA6EA8" w14:textId="77777777" w:rsidR="0069637C" w:rsidRPr="004D110A" w:rsidRDefault="0069637C" w:rsidP="00027523">
            <w:pPr>
              <w:spacing w:line="240" w:lineRule="auto"/>
              <w:rPr>
                <w:rFonts w:cs="Times New Roman"/>
                <w:sz w:val="20"/>
                <w:szCs w:val="20"/>
              </w:rPr>
            </w:pPr>
            <w:r w:rsidRPr="004D110A">
              <w:rPr>
                <w:rFonts w:cs="Times New Roman"/>
                <w:sz w:val="20"/>
                <w:szCs w:val="20"/>
              </w:rPr>
              <w:t>Quantitative-only study designs</w:t>
            </w:r>
          </w:p>
        </w:tc>
      </w:tr>
      <w:tr w:rsidR="0069637C" w:rsidRPr="004D110A" w14:paraId="099C936F" w14:textId="77777777" w:rsidTr="00027523">
        <w:trPr>
          <w:trHeight w:hRule="exact" w:val="284"/>
        </w:trPr>
        <w:tc>
          <w:tcPr>
            <w:tcW w:w="9493" w:type="dxa"/>
            <w:gridSpan w:val="2"/>
            <w:shd w:val="clear" w:color="auto" w:fill="E8E8E8" w:themeFill="background2"/>
          </w:tcPr>
          <w:p w14:paraId="2C71176E" w14:textId="77777777" w:rsidR="0069637C" w:rsidRPr="00EC3060" w:rsidRDefault="0069637C" w:rsidP="00027523">
            <w:pPr>
              <w:spacing w:line="240" w:lineRule="auto"/>
              <w:rPr>
                <w:rFonts w:cs="Times New Roman"/>
                <w:b/>
                <w:bCs/>
                <w:sz w:val="20"/>
                <w:szCs w:val="20"/>
              </w:rPr>
            </w:pPr>
            <w:r w:rsidRPr="004D110A">
              <w:rPr>
                <w:rFonts w:cs="Times New Roman"/>
                <w:b/>
                <w:bCs/>
                <w:sz w:val="20"/>
                <w:szCs w:val="20"/>
              </w:rPr>
              <w:t>Countries</w:t>
            </w:r>
          </w:p>
        </w:tc>
      </w:tr>
      <w:tr w:rsidR="0069637C" w:rsidRPr="004D110A" w14:paraId="3879081F" w14:textId="77777777" w:rsidTr="00027523">
        <w:tc>
          <w:tcPr>
            <w:tcW w:w="4815" w:type="dxa"/>
          </w:tcPr>
          <w:p w14:paraId="56D0ACD7" w14:textId="77777777" w:rsidR="0069637C" w:rsidRPr="004D110A" w:rsidRDefault="008E0E04" w:rsidP="00027523">
            <w:pPr>
              <w:spacing w:line="240" w:lineRule="auto"/>
              <w:rPr>
                <w:rFonts w:cs="Times New Roman"/>
                <w:sz w:val="20"/>
                <w:szCs w:val="20"/>
              </w:rPr>
            </w:pPr>
            <w:hyperlink r:id="rId5" w:history="1">
              <w:r w:rsidR="0069637C" w:rsidRPr="004D110A">
                <w:rPr>
                  <w:rStyle w:val="Hyperlink"/>
                  <w:rFonts w:cs="Times New Roman"/>
                  <w:sz w:val="20"/>
                  <w:szCs w:val="20"/>
                </w:rPr>
                <w:t>Organization for Economic Co-operation and Development (OECD) Member Countries</w:t>
              </w:r>
            </w:hyperlink>
          </w:p>
        </w:tc>
        <w:tc>
          <w:tcPr>
            <w:tcW w:w="4678" w:type="dxa"/>
          </w:tcPr>
          <w:p w14:paraId="1E8391B1" w14:textId="77777777" w:rsidR="0069637C" w:rsidRPr="004D110A" w:rsidRDefault="0069637C" w:rsidP="00027523">
            <w:pPr>
              <w:spacing w:line="240" w:lineRule="auto"/>
              <w:rPr>
                <w:rFonts w:cs="Times New Roman"/>
                <w:sz w:val="20"/>
                <w:szCs w:val="20"/>
              </w:rPr>
            </w:pPr>
            <w:r w:rsidRPr="004D110A">
              <w:rPr>
                <w:rFonts w:cs="Times New Roman"/>
                <w:sz w:val="20"/>
                <w:szCs w:val="20"/>
              </w:rPr>
              <w:t>Non-OECD</w:t>
            </w:r>
          </w:p>
        </w:tc>
      </w:tr>
      <w:tr w:rsidR="0069637C" w:rsidRPr="004D110A" w14:paraId="3101BB77" w14:textId="77777777" w:rsidTr="00027523">
        <w:trPr>
          <w:trHeight w:hRule="exact" w:val="284"/>
        </w:trPr>
        <w:tc>
          <w:tcPr>
            <w:tcW w:w="9493" w:type="dxa"/>
            <w:gridSpan w:val="2"/>
            <w:shd w:val="clear" w:color="auto" w:fill="E8E8E8" w:themeFill="background2"/>
          </w:tcPr>
          <w:p w14:paraId="1639586B" w14:textId="77777777" w:rsidR="0069637C" w:rsidRPr="00EC3060" w:rsidRDefault="0069637C" w:rsidP="00027523">
            <w:pPr>
              <w:spacing w:line="240" w:lineRule="auto"/>
              <w:rPr>
                <w:rFonts w:cs="Times New Roman"/>
                <w:b/>
                <w:bCs/>
                <w:sz w:val="20"/>
                <w:szCs w:val="20"/>
              </w:rPr>
            </w:pPr>
            <w:r w:rsidRPr="00EC3060">
              <w:rPr>
                <w:rFonts w:cs="Times New Roman"/>
                <w:b/>
                <w:bCs/>
                <w:sz w:val="20"/>
                <w:szCs w:val="20"/>
              </w:rPr>
              <w:t>Time</w:t>
            </w:r>
          </w:p>
        </w:tc>
      </w:tr>
      <w:tr w:rsidR="0069637C" w:rsidRPr="004D110A" w14:paraId="2AC80C9A" w14:textId="77777777" w:rsidTr="00027523">
        <w:tc>
          <w:tcPr>
            <w:tcW w:w="4815" w:type="dxa"/>
          </w:tcPr>
          <w:p w14:paraId="2A819FB8" w14:textId="77777777" w:rsidR="0069637C" w:rsidRPr="004D110A" w:rsidRDefault="0069637C" w:rsidP="00027523">
            <w:pPr>
              <w:spacing w:line="240" w:lineRule="auto"/>
              <w:rPr>
                <w:rFonts w:cs="Times New Roman"/>
                <w:sz w:val="20"/>
                <w:szCs w:val="20"/>
              </w:rPr>
            </w:pPr>
            <w:r w:rsidRPr="004D110A">
              <w:rPr>
                <w:rFonts w:cs="Times New Roman"/>
                <w:sz w:val="20"/>
                <w:szCs w:val="20"/>
              </w:rPr>
              <w:t>Publications starting January 1</w:t>
            </w:r>
            <w:r w:rsidRPr="004D110A">
              <w:rPr>
                <w:rFonts w:cs="Times New Roman"/>
                <w:sz w:val="20"/>
                <w:szCs w:val="20"/>
                <w:vertAlign w:val="superscript"/>
              </w:rPr>
              <w:t>st</w:t>
            </w:r>
            <w:r w:rsidRPr="004D110A">
              <w:rPr>
                <w:rFonts w:cs="Times New Roman"/>
                <w:sz w:val="20"/>
                <w:szCs w:val="20"/>
              </w:rPr>
              <w:t>, 2010</w:t>
            </w:r>
          </w:p>
        </w:tc>
        <w:tc>
          <w:tcPr>
            <w:tcW w:w="4678" w:type="dxa"/>
          </w:tcPr>
          <w:p w14:paraId="49D9275E" w14:textId="77777777" w:rsidR="0069637C" w:rsidRPr="004D110A" w:rsidRDefault="0069637C" w:rsidP="00027523">
            <w:pPr>
              <w:spacing w:line="240" w:lineRule="auto"/>
              <w:rPr>
                <w:rFonts w:cs="Times New Roman"/>
                <w:sz w:val="20"/>
                <w:szCs w:val="20"/>
              </w:rPr>
            </w:pPr>
            <w:r w:rsidRPr="004D110A">
              <w:rPr>
                <w:rFonts w:cs="Times New Roman"/>
                <w:sz w:val="20"/>
                <w:szCs w:val="20"/>
              </w:rPr>
              <w:t>Publications from December 31, 2009, or earlier</w:t>
            </w:r>
          </w:p>
        </w:tc>
      </w:tr>
      <w:tr w:rsidR="0069637C" w:rsidRPr="004D110A" w14:paraId="07D21B84" w14:textId="77777777" w:rsidTr="00027523">
        <w:trPr>
          <w:trHeight w:hRule="exact" w:val="284"/>
        </w:trPr>
        <w:tc>
          <w:tcPr>
            <w:tcW w:w="9493" w:type="dxa"/>
            <w:gridSpan w:val="2"/>
            <w:shd w:val="clear" w:color="auto" w:fill="E8E8E8" w:themeFill="background2"/>
          </w:tcPr>
          <w:p w14:paraId="57984669" w14:textId="77777777" w:rsidR="0069637C" w:rsidRPr="00EC3060" w:rsidRDefault="0069637C" w:rsidP="00027523">
            <w:pPr>
              <w:spacing w:line="240" w:lineRule="auto"/>
              <w:rPr>
                <w:rFonts w:cs="Times New Roman"/>
                <w:b/>
                <w:bCs/>
                <w:sz w:val="20"/>
                <w:szCs w:val="20"/>
              </w:rPr>
            </w:pPr>
            <w:r w:rsidRPr="00EC3060">
              <w:rPr>
                <w:rFonts w:cs="Times New Roman"/>
                <w:b/>
                <w:bCs/>
                <w:sz w:val="20"/>
                <w:szCs w:val="20"/>
              </w:rPr>
              <w:t>Publications</w:t>
            </w:r>
          </w:p>
        </w:tc>
      </w:tr>
      <w:tr w:rsidR="0069637C" w:rsidRPr="004D110A" w14:paraId="34B28F31" w14:textId="77777777" w:rsidTr="00027523">
        <w:tc>
          <w:tcPr>
            <w:tcW w:w="4815" w:type="dxa"/>
          </w:tcPr>
          <w:p w14:paraId="2276439D" w14:textId="77777777" w:rsidR="0069637C" w:rsidRPr="004D110A" w:rsidRDefault="0069637C" w:rsidP="00027523">
            <w:pPr>
              <w:spacing w:line="240" w:lineRule="auto"/>
              <w:rPr>
                <w:rFonts w:cs="Times New Roman"/>
                <w:sz w:val="20"/>
                <w:szCs w:val="20"/>
              </w:rPr>
            </w:pPr>
            <w:r w:rsidRPr="004D110A">
              <w:rPr>
                <w:rFonts w:cs="Times New Roman"/>
                <w:sz w:val="20"/>
                <w:szCs w:val="20"/>
              </w:rPr>
              <w:t>Full, peer-reviewed manuscripts</w:t>
            </w:r>
          </w:p>
        </w:tc>
        <w:tc>
          <w:tcPr>
            <w:tcW w:w="4678" w:type="dxa"/>
          </w:tcPr>
          <w:p w14:paraId="2E0C9B67" w14:textId="77777777" w:rsidR="0069637C" w:rsidRPr="004D110A" w:rsidRDefault="0069637C" w:rsidP="00027523">
            <w:pPr>
              <w:spacing w:line="240" w:lineRule="auto"/>
              <w:rPr>
                <w:rFonts w:cs="Times New Roman"/>
                <w:sz w:val="20"/>
                <w:szCs w:val="20"/>
              </w:rPr>
            </w:pPr>
            <w:r w:rsidRPr="004D110A">
              <w:rPr>
                <w:rFonts w:cs="Times New Roman"/>
                <w:sz w:val="20"/>
                <w:szCs w:val="20"/>
              </w:rPr>
              <w:t>Posters, abstracts, letters</w:t>
            </w:r>
          </w:p>
        </w:tc>
      </w:tr>
    </w:tbl>
    <w:p w14:paraId="5F2A31BB" w14:textId="77777777" w:rsidR="008E0E04" w:rsidRPr="0054017D" w:rsidRDefault="008E0E04" w:rsidP="008E0E04">
      <w:pPr>
        <w:spacing w:line="240" w:lineRule="auto"/>
        <w:rPr>
          <w:b/>
          <w:bCs/>
        </w:rPr>
      </w:pPr>
      <w:r>
        <w:rPr>
          <w:sz w:val="20"/>
          <w:szCs w:val="20"/>
        </w:rPr>
        <w:t xml:space="preserve">DV: domestic violence, </w:t>
      </w:r>
      <w:r w:rsidRPr="00626FD8">
        <w:rPr>
          <w:sz w:val="20"/>
          <w:szCs w:val="20"/>
        </w:rPr>
        <w:t>IPV: int</w:t>
      </w:r>
      <w:r>
        <w:rPr>
          <w:sz w:val="20"/>
          <w:szCs w:val="20"/>
        </w:rPr>
        <w:t>erpersonal v</w:t>
      </w:r>
      <w:r w:rsidRPr="00626FD8">
        <w:rPr>
          <w:sz w:val="20"/>
          <w:szCs w:val="20"/>
        </w:rPr>
        <w:t>iolence,</w:t>
      </w:r>
      <w:r>
        <w:rPr>
          <w:sz w:val="20"/>
          <w:szCs w:val="20"/>
        </w:rPr>
        <w:t xml:space="preserve"> OECD: organization for economic co-operation and development, SA: sexual assault</w:t>
      </w:r>
    </w:p>
    <w:p w14:paraId="4748CADD" w14:textId="77777777" w:rsidR="00D15ACD" w:rsidRDefault="00D15ACD"/>
    <w:sectPr w:rsidR="00D1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23BA"/>
    <w:multiLevelType w:val="hybridMultilevel"/>
    <w:tmpl w:val="A58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67304"/>
    <w:multiLevelType w:val="hybridMultilevel"/>
    <w:tmpl w:val="3E3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F263C"/>
    <w:multiLevelType w:val="hybridMultilevel"/>
    <w:tmpl w:val="22D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1A1F"/>
    <w:multiLevelType w:val="hybridMultilevel"/>
    <w:tmpl w:val="023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6631D"/>
    <w:multiLevelType w:val="hybridMultilevel"/>
    <w:tmpl w:val="2F3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72158"/>
    <w:multiLevelType w:val="hybridMultilevel"/>
    <w:tmpl w:val="C890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74324"/>
    <w:multiLevelType w:val="hybridMultilevel"/>
    <w:tmpl w:val="0F3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080401">
    <w:abstractNumId w:val="3"/>
  </w:num>
  <w:num w:numId="2" w16cid:durableId="1068072420">
    <w:abstractNumId w:val="2"/>
  </w:num>
  <w:num w:numId="3" w16cid:durableId="199099784">
    <w:abstractNumId w:val="4"/>
  </w:num>
  <w:num w:numId="4" w16cid:durableId="1290164929">
    <w:abstractNumId w:val="0"/>
  </w:num>
  <w:num w:numId="5" w16cid:durableId="991522072">
    <w:abstractNumId w:val="1"/>
  </w:num>
  <w:num w:numId="6" w16cid:durableId="1299798268">
    <w:abstractNumId w:val="6"/>
  </w:num>
  <w:num w:numId="7" w16cid:durableId="586380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7C"/>
    <w:rsid w:val="00044406"/>
    <w:rsid w:val="0066640E"/>
    <w:rsid w:val="0069637C"/>
    <w:rsid w:val="00844781"/>
    <w:rsid w:val="008E0E04"/>
    <w:rsid w:val="00D1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F249"/>
  <w15:chartTrackingRefBased/>
  <w15:docId w15:val="{91F6A91D-3411-4E8A-8CA9-6916DAA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7C"/>
    <w:pPr>
      <w:spacing w:after="240" w:line="480" w:lineRule="auto"/>
    </w:pPr>
    <w:rPr>
      <w:rFonts w:ascii="Times New Roman" w:hAnsi="Times New Roman"/>
      <w:kern w:val="0"/>
      <w14:ligatures w14:val="none"/>
    </w:rPr>
  </w:style>
  <w:style w:type="paragraph" w:styleId="Heading1">
    <w:name w:val="heading 1"/>
    <w:basedOn w:val="Normal"/>
    <w:next w:val="Normal"/>
    <w:link w:val="Heading1Char"/>
    <w:uiPriority w:val="9"/>
    <w:qFormat/>
    <w:rsid w:val="00696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7C"/>
    <w:rPr>
      <w:rFonts w:eastAsiaTheme="majorEastAsia" w:cstheme="majorBidi"/>
      <w:color w:val="272727" w:themeColor="text1" w:themeTint="D8"/>
    </w:rPr>
  </w:style>
  <w:style w:type="paragraph" w:styleId="Title">
    <w:name w:val="Title"/>
    <w:basedOn w:val="Normal"/>
    <w:next w:val="Normal"/>
    <w:link w:val="TitleChar"/>
    <w:uiPriority w:val="10"/>
    <w:qFormat/>
    <w:rsid w:val="00696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7C"/>
    <w:pPr>
      <w:spacing w:before="160"/>
      <w:jc w:val="center"/>
    </w:pPr>
    <w:rPr>
      <w:i/>
      <w:iCs/>
      <w:color w:val="404040" w:themeColor="text1" w:themeTint="BF"/>
    </w:rPr>
  </w:style>
  <w:style w:type="character" w:customStyle="1" w:styleId="QuoteChar">
    <w:name w:val="Quote Char"/>
    <w:basedOn w:val="DefaultParagraphFont"/>
    <w:link w:val="Quote"/>
    <w:uiPriority w:val="29"/>
    <w:rsid w:val="0069637C"/>
    <w:rPr>
      <w:i/>
      <w:iCs/>
      <w:color w:val="404040" w:themeColor="text1" w:themeTint="BF"/>
    </w:rPr>
  </w:style>
  <w:style w:type="paragraph" w:styleId="ListParagraph">
    <w:name w:val="List Paragraph"/>
    <w:basedOn w:val="Normal"/>
    <w:uiPriority w:val="34"/>
    <w:qFormat/>
    <w:rsid w:val="0069637C"/>
    <w:pPr>
      <w:ind w:left="720"/>
      <w:contextualSpacing/>
    </w:pPr>
  </w:style>
  <w:style w:type="character" w:styleId="IntenseEmphasis">
    <w:name w:val="Intense Emphasis"/>
    <w:basedOn w:val="DefaultParagraphFont"/>
    <w:uiPriority w:val="21"/>
    <w:qFormat/>
    <w:rsid w:val="0069637C"/>
    <w:rPr>
      <w:i/>
      <w:iCs/>
      <w:color w:val="0F4761" w:themeColor="accent1" w:themeShade="BF"/>
    </w:rPr>
  </w:style>
  <w:style w:type="paragraph" w:styleId="IntenseQuote">
    <w:name w:val="Intense Quote"/>
    <w:basedOn w:val="Normal"/>
    <w:next w:val="Normal"/>
    <w:link w:val="IntenseQuoteChar"/>
    <w:uiPriority w:val="30"/>
    <w:qFormat/>
    <w:rsid w:val="00696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7C"/>
    <w:rPr>
      <w:i/>
      <w:iCs/>
      <w:color w:val="0F4761" w:themeColor="accent1" w:themeShade="BF"/>
    </w:rPr>
  </w:style>
  <w:style w:type="character" w:styleId="IntenseReference">
    <w:name w:val="Intense Reference"/>
    <w:basedOn w:val="DefaultParagraphFont"/>
    <w:uiPriority w:val="32"/>
    <w:qFormat/>
    <w:rsid w:val="0069637C"/>
    <w:rPr>
      <w:b/>
      <w:bCs/>
      <w:smallCaps/>
      <w:color w:val="0F4761" w:themeColor="accent1" w:themeShade="BF"/>
      <w:spacing w:val="5"/>
    </w:rPr>
  </w:style>
  <w:style w:type="character" w:styleId="Hyperlink">
    <w:name w:val="Hyperlink"/>
    <w:basedOn w:val="DefaultParagraphFont"/>
    <w:uiPriority w:val="99"/>
    <w:unhideWhenUsed/>
    <w:rsid w:val="0069637C"/>
    <w:rPr>
      <w:color w:val="467886" w:themeColor="hyperlink"/>
      <w:u w:val="single"/>
    </w:rPr>
  </w:style>
  <w:style w:type="table" w:styleId="TableGrid">
    <w:name w:val="Table Grid"/>
    <w:basedOn w:val="TableNormal"/>
    <w:uiPriority w:val="39"/>
    <w:rsid w:val="006963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cd.org/about/document/ratification-oecd-conven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Karen M.</dc:creator>
  <cp:keywords/>
  <dc:description/>
  <cp:lastModifiedBy>Goldstein, Karen M.</cp:lastModifiedBy>
  <cp:revision>2</cp:revision>
  <dcterms:created xsi:type="dcterms:W3CDTF">2025-04-22T23:55:00Z</dcterms:created>
  <dcterms:modified xsi:type="dcterms:W3CDTF">2025-04-22T23:56:00Z</dcterms:modified>
</cp:coreProperties>
</file>